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264</w:t>
      </w:r>
    </w:p>
    <w:p>
      <w:r>
        <w:t>Bundesgericht (BGE), 2012-07-23, DE</w:t>
      </w:r>
    </w:p>
    <w:p>
      <w:r>
        <w:rPr>
          <w:b/>
        </w:rPr>
        <w:t xml:space="preserve">Quelle: </w:t>
      </w:r>
      <w:r>
        <w:t>https://mcp.opencaselaw.ch/entscheid/bge_140 III 264</w:t>
      </w:r>
    </w:p>
    <w:p>
      <w:r>
        <w:t>FR: ATF 140 III 264</w:t>
      </w:r>
    </w:p>
    <w:p>
      <w:r>
        <w:t>IT: DTF 140 III 264</w:t>
      </w:r>
    </w:p>
    <w:p>
      <w:pPr>
        <w:pStyle w:val="Heading2"/>
      </w:pPr>
      <w:r>
        <w:t>Regeste</w:t>
      </w:r>
    </w:p>
    <w:p>
      <w:r>
        <w:t>Regeste Art. 157, 160 und 164 ZPO; Art. 105 Abs. 1 und Art. 97 BGG. Beweiswürdigung bei unberechtigter Verweigerung der Mitwirkung einer Partei. Verbindlichkeit der vorinstanzlichen Beweiswürdigung für das Bundesgericht. Es bestehen keine Vorgaben (Art. 157 ZPO), welche Schlüsse der Sachrichter aus dem Umstand ziehen soll, dass eine Partei bei der Beweiserhebung unberechtigterweise nicht mitwirkt. Die vor Bundesgericht erhobene Rüge, Art. 157 oder 164 ZPO sei verletzt, ändert nichts daran, dass das Ergebnis der vorinstanzlichen Beweiswürdigung für das Bundesgericht grundsätzlich verbindlich ist (Art. 105 Abs. 1 BGG). Voraussetzungen der Anfechtung der vorinstanzlichen Sachverhaltsfeststellungen (Art. 97 BGG) und Begriff der Willkür (Art. 9 BV) im Zusammenhang mit der Beweiswürdigung (E. 2.3).</w:t>
      </w:r>
    </w:p>
    <w:p>
      <w:pPr>
        <w:pStyle w:val="Heading2"/>
      </w:pPr>
      <w:r>
        <w:t>Erwägungen</w:t>
      </w:r>
    </w:p>
    <w:p>
      <w:r>
        <w:rPr>
          <w:b/>
        </w:rPr>
        <w:t>E. 2.3</w:t>
      </w:r>
    </w:p>
    <w:p>
      <w:r>
        <w:t>Gemäss Art. 160 Abs. 1 ZPO sind die Parteien und Dritte zur Mitwirkung bei der Beweiserhebung verpflichtet. Verweigert eine Partei die Mitwirkung unberechtigterweise, so berücksichtigt dies das Gericht bei der Beweiswürdigung ( Art. 164 ZPO ). Art. 164 ZPO macht keine Vorgaben, welche Schlüsse das Gericht bei der Beweiswürdigung aus einer Mitwirkungsverweigerung ziehen soll. Insbesondere ist nicht vorgeschrieben, dass das Gericht ohne Weiteres auf die Wahrheit der Tatsachenbehauptungen der Gegenpartei schliessen muss. Vielmehr handelt es sich bei der unberechtigten Mitwirkungsverweigerung um einen Umstand unter anderen, der in die freie Beweiswürdigung ( Art. 157 ZPO ) hineinfliesst (SVEN RÜETSCHI, in: Berner Kommentar, Schweizerische Zivilprozessordnung, 2012, N. 4 ff. zu Art. 164 ZPO ). Die Vorinstanz hat denn auch darauf hingewiesen, BGE 140 III 264 S. 266 dass die Weigerung des Beschwerdegegners, Dokumente herauszugeben, sich zwar zu seinen Ungunsten auswirken müsse, dieser Nachteil aber nicht weitergehen dürfe als notwendig. Wenn sich aus den Akten ein klares Bild ergebe, sei darauf abzustellen. Auf diese Erwägung geht die Beschwerdeführerin nicht ein und sie legt nicht dar, inwieweit darin eine Verletzung des Gehalts des Grundsatzes der freien Beweiswürdigung liegen könnte (vgl. dazu Urteil 5A_250/2012 vom 18. Mai 2012 E. 7.4.1 mit Hinweisen). Sie bemängelt vielmehr das Ergebnis der vorinstanzlichen Beweiswürdigung. Weder die Bestimmung von Art. 157 ZPO noch die als verletzt gerügten Art. 160 i.V.m. Art. 164 ZPO ändern jedoch etwas daran, dass das Ergebnis der vorinstanzlichen Beweiswürdigung für das Bundesgericht grundsätzlich verbindlich ist ( Art. 105 Abs. 1 BGG ; Urteil 5A_250/2012 vom 18. Mai 2012 E. 7.4 zu Art. 157 ZPO ). 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soweit möglich, belegte Rügen; auf rein appellatorische Kritik am angefochtenen Entscheid tritt es nicht ein ( BGE 134 II 244 E. 2.2 S. 246; BGE 137 II 353 E. 5.1 S. 356). 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137 III 226 E. 4.2 S. 234; BGE 136 III 552 E. 4.2 S. 560). Die Beschwerdeführerin beschränkt sich darauf, ihre Würdigung der Akten und der Mitwirkungsverweigerung des Beschwerdegegners an die Stelle der Würdigung durch das Obergericht zu setzen. Inwieweit dieses dabei in Willkür verfallen sein soll, ist weder genügend dargetan noch ersichtlich. Soweit sie sich auf die Steuererklärung des BGE 140 III 264 S. 267 Beschwerdegegners beruft, so übergeht sie die vorinstanzliche Erwägung, dass dieser lediglich der Wert einer Parteibehauptung zukomme und sie insbesondere angesichts des prozessualen Verhaltens des Beschwerdegegners nicht geeignet sei, einen verlässlichen Schluss über sein früheres Barvermögen zuzulassen. Fehlt es mithin an einer genügenden Auseinandersetzung mit den vorinstanzlichen Erwägungen, so kann auf die Beschwerde nicht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